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FF" w:rsidRDefault="006775FF" w:rsidP="006775FF">
      <w:pPr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6775FF">
        <w:rPr>
          <w:rFonts w:ascii="TimesNewRomanPSMT" w:hAnsi="TimesNewRomanPSMT" w:cs="TimesNewRomanPSMT"/>
          <w:b/>
          <w:color w:val="000000"/>
          <w:sz w:val="28"/>
          <w:szCs w:val="28"/>
        </w:rPr>
        <w:t>Accompagnement pédagogique</w:t>
      </w:r>
    </w:p>
    <w:p w:rsidR="007E6418" w:rsidRDefault="007E6418" w:rsidP="006775FF">
      <w:pPr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>
        <w:rPr>
          <w:rFonts w:ascii="TimesNewRomanPSMT" w:hAnsi="TimesNewRomanPSMT" w:cs="TimesNewRomanPSMT"/>
          <w:b/>
          <w:color w:val="000000"/>
          <w:sz w:val="28"/>
          <w:szCs w:val="28"/>
        </w:rPr>
        <w:t>Académie de CAEN</w:t>
      </w:r>
    </w:p>
    <w:p w:rsidR="007E6418" w:rsidRPr="006775FF" w:rsidRDefault="007E6418" w:rsidP="006775FF">
      <w:pPr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D669EF" w:rsidRDefault="006775FF" w:rsidP="006775FF">
      <w:pPr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' ' </w:t>
      </w:r>
      <w:r>
        <w:rPr>
          <w:rFonts w:ascii="TimesNewRomanPS-BoldMT" w:hAnsi="TimesNewRomanPS-BoldMT" w:cs="TimesNewRomanPS-BoldMT"/>
          <w:b/>
          <w:bCs/>
          <w:color w:val="000081"/>
          <w:sz w:val="24"/>
          <w:szCs w:val="24"/>
        </w:rPr>
        <w:t xml:space="preserve">Le roi a fait battre tambour </w:t>
      </w:r>
      <w:r>
        <w:rPr>
          <w:rFonts w:ascii="TimesNewRomanPSMT" w:hAnsi="TimesNewRomanPSMT" w:cs="TimesNewRomanPSMT"/>
          <w:color w:val="000081"/>
          <w:sz w:val="24"/>
          <w:szCs w:val="24"/>
        </w:rPr>
        <w:t>' '</w:t>
      </w:r>
      <w:r w:rsidR="00AA7993">
        <w:rPr>
          <w:rFonts w:ascii="TimesNewRomanPSMT" w:hAnsi="TimesNewRomanPSMT" w:cs="TimesNewRomanPSMT"/>
          <w:color w:val="000000"/>
          <w:sz w:val="24"/>
          <w:szCs w:val="24"/>
        </w:rPr>
        <w:t xml:space="preserve"> de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Madame de Montespan</w:t>
      </w:r>
    </w:p>
    <w:p w:rsidR="006775FF" w:rsidRDefault="006775FF" w:rsidP="006775FF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 Normandie, la musique s'est répandue grâce aux musiciens ambulants.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Ce sont eux qui nous ont transmis le répertoire traditionnel, joué notamment à l'occasion des fêtes et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cérémonies.</w:t>
      </w:r>
    </w:p>
    <w:p w:rsidR="006775FF" w:rsidRPr="00AA7993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AA7993">
        <w:rPr>
          <w:rFonts w:ascii="TimesNewRomanPSMT" w:hAnsi="TimesNewRomanPSMT" w:cs="TimesNewRomanPSMT"/>
          <w:b/>
          <w:sz w:val="18"/>
          <w:szCs w:val="18"/>
        </w:rPr>
        <w:t xml:space="preserve">C. Riegler CPDEM - DSDEN 50 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Aux XVII</w:t>
      </w:r>
      <w:r>
        <w:rPr>
          <w:rFonts w:ascii="TimesNewRomanPSMT" w:hAnsi="TimesNewRomanPSMT" w:cs="TimesNewRomanPSMT"/>
          <w:sz w:val="14"/>
          <w:szCs w:val="14"/>
        </w:rPr>
        <w:t xml:space="preserve">e </w:t>
      </w:r>
      <w:r>
        <w:rPr>
          <w:rFonts w:ascii="TimesNewRomanPSMT" w:hAnsi="TimesNewRomanPSMT" w:cs="TimesNewRomanPSMT"/>
          <w:sz w:val="24"/>
          <w:szCs w:val="24"/>
        </w:rPr>
        <w:t>et XVIII</w:t>
      </w:r>
      <w:r>
        <w:rPr>
          <w:rFonts w:ascii="TimesNewRomanPSMT" w:hAnsi="TimesNewRomanPSMT" w:cs="TimesNewRomanPSMT"/>
          <w:sz w:val="14"/>
          <w:szCs w:val="14"/>
        </w:rPr>
        <w:t xml:space="preserve">e </w:t>
      </w:r>
      <w:r>
        <w:rPr>
          <w:rFonts w:ascii="TimesNewRomanPSMT" w:hAnsi="TimesNewRomanPSMT" w:cs="TimesNewRomanPSMT"/>
          <w:sz w:val="24"/>
          <w:szCs w:val="24"/>
        </w:rPr>
        <w:t xml:space="preserve">siècle, le musicien ambulant était le plus souvent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violoniste</w:t>
      </w:r>
      <w:r>
        <w:rPr>
          <w:rFonts w:ascii="TimesNewRomanPSMT" w:hAnsi="TimesNewRomanPSMT" w:cs="TimesNewRomanPSMT"/>
          <w:sz w:val="24"/>
          <w:szCs w:val="24"/>
        </w:rPr>
        <w:t>. Il y avait également des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joueurs de vielles et de clarinettes. Puis, dans la seconde moitié du XIX</w:t>
      </w:r>
      <w:r>
        <w:rPr>
          <w:rFonts w:ascii="TimesNewRomanPSMT" w:hAnsi="TimesNewRomanPSMT" w:cs="TimesNewRomanPSMT"/>
          <w:sz w:val="14"/>
          <w:szCs w:val="14"/>
        </w:rPr>
        <w:t xml:space="preserve">e </w:t>
      </w:r>
      <w:r>
        <w:rPr>
          <w:rFonts w:ascii="TimesNewRomanPSMT" w:hAnsi="TimesNewRomanPSMT" w:cs="TimesNewRomanPSMT"/>
          <w:sz w:val="24"/>
          <w:szCs w:val="24"/>
        </w:rPr>
        <w:t>siècle, la pratique de l'accordéon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s'est répandue.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Comme dans d'autres régions, on chantait et dansait. Mais, les chants traditionnels étaient rarement notés et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les paroles peu souvent écrites. La transmission était essentiellement orale. L'apprentissage était fondé sur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l'écoute, la répétition et la mémorisation.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Bien souvent, chant et danse étaient associés.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La danse la plus répandue était alors la ronde chantée, à l'allure dynamique et à la joie communicative.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Désignée sous le nom de ''branle'', elle était dansée dans toutes les régions de l'Ouest de la France. Dans les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campagnes normandes, on a dansé ainsi en rondes villageoises jusqu'à la fin du XIX</w:t>
      </w:r>
      <w:r>
        <w:rPr>
          <w:rFonts w:ascii="TimesNewRomanPSMT" w:hAnsi="TimesNewRomanPSMT" w:cs="TimesNewRomanPSMT"/>
          <w:sz w:val="14"/>
          <w:szCs w:val="14"/>
        </w:rPr>
        <w:t xml:space="preserve">e </w:t>
      </w:r>
      <w:r>
        <w:rPr>
          <w:rFonts w:ascii="TimesNewRomanPSMT" w:hAnsi="TimesNewRomanPSMT" w:cs="TimesNewRomanPSMT"/>
          <w:sz w:val="24"/>
          <w:szCs w:val="24"/>
        </w:rPr>
        <w:t>siècle, le plus souvent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à la belle saison, lors des ''Mai fleuri'' ou des fêtes de Saint-Jean (''Couronne de Saint-Jean'') et bien sûr à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l'occasion des noces qui pouvaient rassembler parfois des centaines d'invités.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 est à noter que les hommes d'église ne voyaient pas d'un bon </w:t>
      </w:r>
      <w:r w:rsidR="00725C33">
        <w:rPr>
          <w:rFonts w:ascii="TimesNewRomanPSMT" w:hAnsi="TimesNewRomanPSMT" w:cs="TimesNewRomanPSMT"/>
          <w:sz w:val="24"/>
          <w:szCs w:val="24"/>
        </w:rPr>
        <w:t>œil</w:t>
      </w:r>
      <w:r>
        <w:rPr>
          <w:rFonts w:ascii="TimesNewRomanPSMT" w:hAnsi="TimesNewRomanPSMT" w:cs="TimesNewRomanPSMT"/>
          <w:sz w:val="24"/>
          <w:szCs w:val="24"/>
        </w:rPr>
        <w:t xml:space="preserve"> tous ces amusements populaires.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Du fait des déplacements des musiciens ambulants, qui suivaient en cela les</w:t>
      </w:r>
      <w:r>
        <w:rPr>
          <w:rFonts w:ascii="TimesNewRomanPSMT" w:hAnsi="TimesNewRomanPSMT" w:cs="TimesNewRomanPSMT"/>
          <w:sz w:val="24"/>
          <w:szCs w:val="24"/>
        </w:rPr>
        <w:t xml:space="preserve"> m</w:t>
      </w:r>
      <w:r>
        <w:rPr>
          <w:rFonts w:ascii="TimesNewRomanPSMT" w:hAnsi="TimesNewRomanPSMT" w:cs="TimesNewRomanPSMT"/>
          <w:sz w:val="24"/>
          <w:szCs w:val="24"/>
        </w:rPr>
        <w:t>ouvements des marchands et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des colporteurs, les chants se sont assez régulièrement transmis d'une région à une autre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' '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Le roi a fait battre tambour </w:t>
      </w:r>
      <w:r>
        <w:rPr>
          <w:rFonts w:ascii="TimesNewRomanPSMT" w:hAnsi="TimesNewRomanPSMT" w:cs="TimesNewRomanPSMT"/>
          <w:sz w:val="24"/>
          <w:szCs w:val="24"/>
        </w:rPr>
        <w:t>' ' : Ce chant a été vraisemblablement écrit par une favorite de Louis XIV, la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marquise de Montespan. Les paroles font référence à la triste histoire de Gabrielle d’Estrées, elle-même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favorite d'Henri IV, et victime de la jalousie de Marie de Médicis qui la fit empoisonner.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Voici les paroles d</w:t>
      </w:r>
      <w:r>
        <w:rPr>
          <w:rFonts w:ascii="TimesNewRomanPSMT" w:hAnsi="TimesNewRomanPSMT" w:cs="TimesNewRomanPSMT"/>
          <w:sz w:val="24"/>
          <w:szCs w:val="24"/>
        </w:rPr>
        <w:t>u dernier couplet de la chanson</w:t>
      </w:r>
      <w:r>
        <w:rPr>
          <w:rFonts w:ascii="TimesNewRomanPSMT" w:hAnsi="TimesNewRomanPSMT" w:cs="TimesNewRomanPSMT"/>
          <w:sz w:val="24"/>
          <w:szCs w:val="24"/>
        </w:rPr>
        <w:t xml:space="preserve"> :</w:t>
      </w:r>
    </w:p>
    <w:p w:rsidR="006775FF" w:rsidRPr="00AA7993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1"/>
          <w:szCs w:val="21"/>
        </w:rPr>
      </w:pPr>
      <w:r w:rsidRPr="00AA7993">
        <w:rPr>
          <w:rFonts w:ascii="TimesNewRomanPSMT" w:hAnsi="TimesNewRomanPSMT" w:cs="TimesNewRomanPSMT"/>
          <w:b/>
          <w:sz w:val="21"/>
          <w:szCs w:val="21"/>
        </w:rPr>
        <w:t>« La reine a fait faire un bouquet</w:t>
      </w:r>
    </w:p>
    <w:p w:rsidR="006775FF" w:rsidRPr="00AA7993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1"/>
          <w:szCs w:val="21"/>
        </w:rPr>
      </w:pPr>
      <w:r w:rsidRPr="00AA7993">
        <w:rPr>
          <w:rFonts w:ascii="TimesNewRomanPSMT" w:hAnsi="TimesNewRomanPSMT" w:cs="TimesNewRomanPSMT"/>
          <w:b/>
          <w:sz w:val="21"/>
          <w:szCs w:val="21"/>
        </w:rPr>
        <w:t>De belles fleurs de lys</w:t>
      </w:r>
    </w:p>
    <w:p w:rsidR="006775FF" w:rsidRPr="00AA7993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1"/>
          <w:szCs w:val="21"/>
        </w:rPr>
      </w:pPr>
      <w:r w:rsidRPr="00AA7993">
        <w:rPr>
          <w:rFonts w:ascii="TimesNewRomanPSMT" w:hAnsi="TimesNewRomanPSMT" w:cs="TimesNewRomanPSMT"/>
          <w:b/>
          <w:sz w:val="21"/>
          <w:szCs w:val="21"/>
        </w:rPr>
        <w:t>Et la senteur de ce bouquet</w:t>
      </w:r>
    </w:p>
    <w:p w:rsidR="006775FF" w:rsidRDefault="006775FF" w:rsidP="006775FF">
      <w:pPr>
        <w:jc w:val="both"/>
        <w:rPr>
          <w:rFonts w:ascii="TimesNewRomanPSMT" w:hAnsi="TimesNewRomanPSMT" w:cs="TimesNewRomanPSMT"/>
          <w:b/>
          <w:sz w:val="21"/>
          <w:szCs w:val="21"/>
        </w:rPr>
      </w:pPr>
      <w:r w:rsidRPr="00AA7993">
        <w:rPr>
          <w:rFonts w:ascii="TimesNewRomanPSMT" w:hAnsi="TimesNewRomanPSMT" w:cs="TimesNewRomanPSMT"/>
          <w:b/>
          <w:sz w:val="21"/>
          <w:szCs w:val="21"/>
        </w:rPr>
        <w:t>A fait mourir marquise. »</w:t>
      </w:r>
    </w:p>
    <w:p w:rsidR="00AA7993" w:rsidRDefault="00AA7993" w:rsidP="006775FF">
      <w:pPr>
        <w:jc w:val="both"/>
        <w:rPr>
          <w:rFonts w:ascii="TimesNewRomanPSMT" w:hAnsi="TimesNewRomanPSMT" w:cs="TimesNewRomanPSMT"/>
          <w:b/>
          <w:sz w:val="21"/>
          <w:szCs w:val="21"/>
        </w:rPr>
      </w:pPr>
    </w:p>
    <w:p w:rsidR="00AA7993" w:rsidRDefault="00AA7993" w:rsidP="006775FF">
      <w:pPr>
        <w:jc w:val="both"/>
        <w:rPr>
          <w:rFonts w:ascii="TimesNewRomanPSMT" w:hAnsi="TimesNewRomanPSMT" w:cs="TimesNewRomanPSMT"/>
          <w:b/>
          <w:sz w:val="21"/>
          <w:szCs w:val="21"/>
        </w:rPr>
      </w:pPr>
    </w:p>
    <w:p w:rsidR="00AA7993" w:rsidRDefault="00AA7993" w:rsidP="00677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PLAN DE LA SEQUENCE PEDAGOGIQUE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Séance s 1 : écoute des extraits musicaux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et les associer à un tableau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Séance </w:t>
      </w:r>
      <w:r w:rsidR="007E6418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: </w:t>
      </w:r>
      <w:r w:rsidR="007E6418">
        <w:rPr>
          <w:rFonts w:ascii="TimesNewRomanPS-BoldMT" w:hAnsi="TimesNewRomanPS-BoldMT" w:cs="TimesNewRomanPS-BoldMT"/>
          <w:b/>
          <w:bCs/>
          <w:sz w:val="24"/>
          <w:szCs w:val="24"/>
        </w:rPr>
        <w:t>reconnaissance d’instruments, quels sont les sentiments ressentis</w:t>
      </w:r>
    </w:p>
    <w:p w:rsidR="006775FF" w:rsidRDefault="007E6418" w:rsidP="00677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Séance 3</w:t>
      </w:r>
      <w:r w:rsidR="006775F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danse</w:t>
      </w:r>
    </w:p>
    <w:p w:rsidR="007E6418" w:rsidRDefault="007E6418" w:rsidP="00677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Séance </w:t>
      </w:r>
      <w:r w:rsidRPr="006775FF"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>
        <w:rPr>
          <w:rFonts w:ascii="TimesNewRomanPSMT" w:hAnsi="TimesNewRomanPSMT" w:cs="TimesNewRomanPSMT"/>
          <w:sz w:val="24"/>
          <w:szCs w:val="24"/>
        </w:rPr>
        <w:t xml:space="preserve"> Ecouter </w:t>
      </w:r>
      <w:r>
        <w:rPr>
          <w:rFonts w:ascii="TimesNewRomanPSMT" w:hAnsi="TimesNewRomanPSMT" w:cs="TimesNewRomanPSMT"/>
          <w:sz w:val="24"/>
          <w:szCs w:val="24"/>
        </w:rPr>
        <w:t xml:space="preserve">plusieurs musiques dont le roi fait battre tambour </w:t>
      </w:r>
      <w:r>
        <w:rPr>
          <w:rFonts w:ascii="TimesNewRomanPSMT" w:hAnsi="TimesNewRomanPSMT" w:cs="TimesNewRomanPSMT"/>
          <w:sz w:val="24"/>
          <w:szCs w:val="24"/>
        </w:rPr>
        <w:t>à partir d'une consigne :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'' Choisir une musique pour illustrer l'aquarelle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''Danse folklorique'' de Georges Laisney</w:t>
      </w:r>
      <w:r>
        <w:rPr>
          <w:rFonts w:ascii="TimesNewRomanPSMT" w:hAnsi="TimesNewRomanPSMT" w:cs="TimesNewRomanPSMT"/>
          <w:sz w:val="24"/>
          <w:szCs w:val="24"/>
        </w:rPr>
        <w:t>, présentée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dans la partie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Arts Visuels</w:t>
      </w:r>
      <w:r>
        <w:rPr>
          <w:rFonts w:ascii="TimesNewRomanPSMT" w:hAnsi="TimesNewRomanPSMT" w:cs="TimesNewRomanPSMT"/>
          <w:sz w:val="24"/>
          <w:szCs w:val="24"/>
        </w:rPr>
        <w:t>. »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Au préalable, s'assurer que les élèves ont bien compris le sujet représenté par Georges Laisney. Faire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identifier le musicien et son instrument, le violon.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775FF" w:rsidRPr="007E6418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Séance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2 </w:t>
      </w:r>
      <w:r w:rsidRPr="007E6418">
        <w:rPr>
          <w:rFonts w:ascii="TimesNewRomanPSMT" w:hAnsi="TimesNewRomanPSMT" w:cs="TimesNewRomanPSMT"/>
          <w:sz w:val="24"/>
          <w:szCs w:val="24"/>
        </w:rPr>
        <w:t xml:space="preserve">Reconnaître les instruments </w:t>
      </w:r>
      <w:r w:rsidRPr="007E6418">
        <w:rPr>
          <w:rFonts w:ascii="TimesNewRomanPSMT" w:hAnsi="TimesNewRomanPSMT" w:cs="TimesNewRomanPSMT"/>
          <w:sz w:val="24"/>
          <w:szCs w:val="24"/>
        </w:rPr>
        <w:t xml:space="preserve">Violons, </w:t>
      </w:r>
      <w:r w:rsidR="00725C33" w:rsidRPr="007E6418">
        <w:rPr>
          <w:rFonts w:ascii="TimesNewRomanPSMT" w:hAnsi="TimesNewRomanPSMT" w:cs="TimesNewRomanPSMT"/>
          <w:sz w:val="24"/>
          <w:szCs w:val="24"/>
        </w:rPr>
        <w:t>alto, violoncelle</w:t>
      </w:r>
    </w:p>
    <w:p w:rsidR="006775FF" w:rsidRPr="007E6418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E6418">
        <w:rPr>
          <w:rFonts w:ascii="TimesNewRomanPSMT" w:hAnsi="TimesNewRomanPSMT" w:cs="TimesNewRomanPSMT"/>
          <w:sz w:val="24"/>
          <w:szCs w:val="24"/>
        </w:rPr>
        <w:t>Sentiment</w:t>
      </w:r>
      <w:r w:rsidR="007E6418" w:rsidRPr="007E6418">
        <w:rPr>
          <w:rFonts w:ascii="TimesNewRomanPSMT" w:hAnsi="TimesNewRomanPSMT" w:cs="TimesNewRomanPSMT"/>
          <w:sz w:val="24"/>
          <w:szCs w:val="24"/>
        </w:rPr>
        <w:t>s que cela nous évoque</w:t>
      </w:r>
      <w:r w:rsidRPr="007E6418">
        <w:rPr>
          <w:rFonts w:ascii="TimesNewRomanPSMT" w:hAnsi="TimesNewRomanPSMT" w:cs="TimesNewRomanPSMT"/>
          <w:sz w:val="24"/>
          <w:szCs w:val="24"/>
        </w:rPr>
        <w:t xml:space="preserve">: </w:t>
      </w:r>
      <w:r w:rsidRPr="007E6418">
        <w:rPr>
          <w:rFonts w:ascii="TimesNewRomanPSMT" w:hAnsi="TimesNewRomanPSMT" w:cs="TimesNewRomanPSMT"/>
          <w:sz w:val="24"/>
          <w:szCs w:val="24"/>
        </w:rPr>
        <w:t>Tristesse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Séance 3 : danse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 ronde est souvent cantonnée au cycle 1. Or, les rondes traditionnelles recèlent des enjeux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d'apprentissages qui vont au-delà des compétences mobilisables par les jeunes élèves. Les cycles 2 et 3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pourront tirer profit à plus d'un titre de la réalisation d'une ronde traditionnelle : sur le plan culturel bien sûr,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mais également sur le plan des apprentissages moteurs (respect des pas indiqués, sens du rythme, orientation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spatiale, socialisation...)</w:t>
      </w:r>
    </w:p>
    <w:p w:rsidR="006775FF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775FF" w:rsidRPr="00AA7993" w:rsidRDefault="006775FF" w:rsidP="006775F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A7993">
        <w:rPr>
          <w:rFonts w:ascii="TimesNewRomanPSMT" w:hAnsi="TimesNewRomanPSMT" w:cs="TimesNewRomanPSMT"/>
          <w:b/>
          <w:sz w:val="18"/>
          <w:szCs w:val="18"/>
        </w:rPr>
        <w:t>C. Riegler CPDEM - DSDEN 50</w:t>
      </w:r>
      <w:bookmarkStart w:id="0" w:name="_GoBack"/>
      <w:bookmarkEnd w:id="0"/>
    </w:p>
    <w:sectPr w:rsidR="006775FF" w:rsidRPr="00AA7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FF"/>
    <w:rsid w:val="006775FF"/>
    <w:rsid w:val="00725C33"/>
    <w:rsid w:val="007E6418"/>
    <w:rsid w:val="00AA7993"/>
    <w:rsid w:val="00D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4676"/>
  <w15:chartTrackingRefBased/>
  <w15:docId w15:val="{6DA1057E-BFF1-449E-BF28-FB42706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anne.mallet3@gmail.com</dc:creator>
  <cp:keywords/>
  <dc:description/>
  <cp:lastModifiedBy>anne.mallet3@gmail.com</cp:lastModifiedBy>
  <cp:revision>4</cp:revision>
  <dcterms:created xsi:type="dcterms:W3CDTF">2019-11-10T16:41:00Z</dcterms:created>
  <dcterms:modified xsi:type="dcterms:W3CDTF">2019-11-10T16:56:00Z</dcterms:modified>
</cp:coreProperties>
</file>